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00" w:type="dxa"/>
        <w:tblLook w:val="04A0" w:firstRow="1" w:lastRow="0" w:firstColumn="1" w:lastColumn="0" w:noHBand="0" w:noVBand="1"/>
      </w:tblPr>
      <w:tblGrid>
        <w:gridCol w:w="9900"/>
      </w:tblGrid>
      <w:tr w:rsidR="0023139A" w:rsidRPr="00053910" w14:paraId="05FF98E3" w14:textId="77777777" w:rsidTr="0023139A">
        <w:trPr>
          <w:trHeight w:val="5021"/>
        </w:trPr>
        <w:tc>
          <w:tcPr>
            <w:tcW w:w="9900" w:type="dxa"/>
          </w:tcPr>
          <w:p w14:paraId="689EB3C5" w14:textId="77777777" w:rsidR="00E23654" w:rsidRPr="00053910" w:rsidRDefault="00E23654" w:rsidP="00E23654">
            <w:pPr>
              <w:keepNext/>
              <w:widowControl w:val="0"/>
              <w:tabs>
                <w:tab w:val="left" w:pos="7491"/>
              </w:tabs>
              <w:spacing w:before="120" w:after="240"/>
              <w:jc w:val="center"/>
              <w:rPr>
                <w:b/>
                <w:bCs/>
                <w:sz w:val="22"/>
                <w:szCs w:val="22"/>
                <w:lang w:val="en-GB"/>
              </w:rPr>
            </w:pPr>
            <w:r w:rsidRPr="00053910">
              <w:rPr>
                <w:b/>
                <w:bCs/>
                <w:sz w:val="22"/>
                <w:szCs w:val="22"/>
                <w:lang w:val="en-GB"/>
              </w:rPr>
              <w:t xml:space="preserve">CLARIFICATION No.1 </w:t>
            </w:r>
          </w:p>
          <w:p w14:paraId="2B637F5C" w14:textId="77777777" w:rsidR="00E23654" w:rsidRPr="00053910" w:rsidRDefault="00E23654" w:rsidP="00E23654">
            <w:pPr>
              <w:keepNext/>
              <w:widowControl w:val="0"/>
              <w:tabs>
                <w:tab w:val="left" w:pos="7491"/>
              </w:tabs>
              <w:spacing w:before="120" w:after="240"/>
              <w:jc w:val="center"/>
              <w:rPr>
                <w:b/>
                <w:bCs/>
                <w:sz w:val="22"/>
                <w:szCs w:val="22"/>
                <w:lang w:val="en-GB"/>
              </w:rPr>
            </w:pPr>
            <w:r w:rsidRPr="00053910">
              <w:rPr>
                <w:b/>
                <w:bCs/>
                <w:sz w:val="22"/>
                <w:szCs w:val="22"/>
                <w:lang w:val="en-GB"/>
              </w:rPr>
              <w:t xml:space="preserve">to the </w:t>
            </w:r>
          </w:p>
          <w:p w14:paraId="2319AA64" w14:textId="77777777" w:rsidR="00E23654" w:rsidRPr="00053910" w:rsidRDefault="00E23654" w:rsidP="00E23654">
            <w:pPr>
              <w:keepNext/>
              <w:widowControl w:val="0"/>
              <w:tabs>
                <w:tab w:val="left" w:pos="7491"/>
              </w:tabs>
              <w:spacing w:before="120" w:after="120"/>
              <w:jc w:val="center"/>
              <w:rPr>
                <w:b/>
                <w:bCs/>
                <w:sz w:val="22"/>
                <w:szCs w:val="22"/>
                <w:lang w:val="en-GB"/>
              </w:rPr>
            </w:pPr>
            <w:r w:rsidRPr="00053910">
              <w:rPr>
                <w:b/>
                <w:bCs/>
                <w:sz w:val="22"/>
                <w:szCs w:val="22"/>
                <w:lang w:val="en-GB"/>
              </w:rPr>
              <w:t xml:space="preserve">CONTRACT NOTICE </w:t>
            </w:r>
          </w:p>
          <w:p w14:paraId="2AAA7A1F" w14:textId="77777777" w:rsidR="00E23654" w:rsidRPr="00053910" w:rsidRDefault="00E23654" w:rsidP="00E23654">
            <w:pPr>
              <w:keepNext/>
              <w:keepLines/>
              <w:spacing w:before="240" w:after="240"/>
              <w:ind w:left="1701" w:hanging="1701"/>
              <w:jc w:val="both"/>
              <w:rPr>
                <w:b/>
                <w:sz w:val="22"/>
                <w:szCs w:val="22"/>
                <w:lang w:val="en-GB"/>
              </w:rPr>
            </w:pPr>
            <w:r w:rsidRPr="00053910">
              <w:rPr>
                <w:b/>
                <w:sz w:val="22"/>
                <w:szCs w:val="22"/>
                <w:lang w:val="en-GB"/>
              </w:rPr>
              <w:t>Contract Title: Technical Assistance for Strengthening Implementation Capacity of Risk     Management and Control Activities of Agriculture and Rural Development Support Institution (ARDSI)</w:t>
            </w:r>
          </w:p>
          <w:p w14:paraId="691BCF27" w14:textId="77777777" w:rsidR="00E23654" w:rsidRPr="00053910" w:rsidRDefault="00E23654" w:rsidP="00E23654">
            <w:pPr>
              <w:keepNext/>
              <w:keepLines/>
              <w:spacing w:after="240"/>
              <w:ind w:left="2340" w:hanging="2340"/>
              <w:jc w:val="both"/>
              <w:outlineLvl w:val="0"/>
              <w:rPr>
                <w:b/>
                <w:sz w:val="22"/>
                <w:szCs w:val="22"/>
                <w:lang w:val="en-GB"/>
              </w:rPr>
            </w:pPr>
            <w:r w:rsidRPr="00053910">
              <w:rPr>
                <w:b/>
                <w:sz w:val="22"/>
                <w:szCs w:val="22"/>
                <w:lang w:val="en-GB"/>
              </w:rPr>
              <w:t>Publication Reference: EuropeAid/140153/IH/SER/TR</w:t>
            </w:r>
          </w:p>
          <w:p w14:paraId="6AE6E77A" w14:textId="77777777" w:rsidR="00E23654" w:rsidRDefault="00E23654" w:rsidP="00E23654">
            <w:pPr>
              <w:keepNext/>
              <w:widowControl w:val="0"/>
              <w:pBdr>
                <w:bottom w:val="single" w:sz="6" w:space="1" w:color="auto"/>
              </w:pBdr>
              <w:tabs>
                <w:tab w:val="left" w:pos="7491"/>
              </w:tabs>
              <w:spacing w:before="120" w:after="120"/>
              <w:jc w:val="both"/>
              <w:rPr>
                <w:sz w:val="22"/>
                <w:szCs w:val="22"/>
                <w:lang w:val="en-GB"/>
              </w:rPr>
            </w:pPr>
            <w:r w:rsidRPr="00053910">
              <w:rPr>
                <w:sz w:val="22"/>
                <w:szCs w:val="22"/>
                <w:lang w:val="en-GB"/>
              </w:rPr>
              <w:t xml:space="preserve">Further to the requests received from the </w:t>
            </w:r>
            <w:r>
              <w:rPr>
                <w:sz w:val="22"/>
                <w:szCs w:val="22"/>
                <w:lang w:val="en-GB"/>
              </w:rPr>
              <w:t>candidates</w:t>
            </w:r>
            <w:r w:rsidRPr="00053910">
              <w:rPr>
                <w:sz w:val="22"/>
                <w:szCs w:val="22"/>
                <w:lang w:val="en-GB"/>
              </w:rPr>
              <w:t>, the following clarifications are provided:</w:t>
            </w:r>
          </w:p>
          <w:p w14:paraId="374B2B22" w14:textId="77777777" w:rsidR="00E23654" w:rsidRDefault="00E23654" w:rsidP="00E23654">
            <w:pPr>
              <w:rPr>
                <w:sz w:val="22"/>
                <w:szCs w:val="22"/>
                <w:lang w:val="en-GB"/>
              </w:rPr>
            </w:pPr>
          </w:p>
          <w:p w14:paraId="208B455A" w14:textId="435A73B8" w:rsidR="00873A46" w:rsidRPr="00E23654" w:rsidRDefault="00873A46" w:rsidP="00873A46">
            <w:pPr>
              <w:keepNext/>
              <w:widowControl w:val="0"/>
              <w:spacing w:before="120" w:after="120"/>
              <w:jc w:val="both"/>
              <w:rPr>
                <w:bCs/>
                <w:sz w:val="22"/>
                <w:szCs w:val="22"/>
                <w:lang w:val="en-GB"/>
              </w:rPr>
            </w:pPr>
            <w:r w:rsidRPr="00053910">
              <w:rPr>
                <w:b/>
                <w:bCs/>
                <w:sz w:val="22"/>
                <w:szCs w:val="22"/>
                <w:u w:val="single"/>
                <w:lang w:val="en-GB"/>
              </w:rPr>
              <w:t xml:space="preserve">Question </w:t>
            </w:r>
            <w:r w:rsidR="009A3C50">
              <w:rPr>
                <w:b/>
                <w:bCs/>
                <w:sz w:val="22"/>
                <w:szCs w:val="22"/>
                <w:u w:val="single"/>
                <w:lang w:val="en-GB"/>
              </w:rPr>
              <w:t>1</w:t>
            </w:r>
            <w:r w:rsidRPr="00053910">
              <w:rPr>
                <w:b/>
                <w:bCs/>
                <w:sz w:val="22"/>
                <w:szCs w:val="22"/>
                <w:u w:val="single"/>
                <w:lang w:val="en-GB"/>
              </w:rPr>
              <w:t>:</w:t>
            </w:r>
            <w:r w:rsidRPr="00053910">
              <w:rPr>
                <w:sz w:val="22"/>
                <w:szCs w:val="22"/>
              </w:rPr>
              <w:t xml:space="preserve"> </w:t>
            </w:r>
          </w:p>
          <w:p w14:paraId="19F060F1" w14:textId="77777777" w:rsidR="00873A46" w:rsidRPr="00053910" w:rsidRDefault="00873A46" w:rsidP="00873A46">
            <w:pPr>
              <w:keepNext/>
              <w:widowControl w:val="0"/>
              <w:spacing w:before="120" w:after="120"/>
              <w:jc w:val="both"/>
              <w:rPr>
                <w:bCs/>
                <w:sz w:val="22"/>
                <w:szCs w:val="22"/>
                <w:lang w:val="en-GB"/>
              </w:rPr>
            </w:pPr>
            <w:r w:rsidRPr="00053910">
              <w:rPr>
                <w:bCs/>
                <w:sz w:val="22"/>
                <w:szCs w:val="22"/>
                <w:lang w:val="en-GB"/>
              </w:rPr>
              <w:t xml:space="preserve">In addition to the requirement of enterprise risk management (ERM) experience specified under the technical capacity criteria, is the agriculture/government sector experience a must? </w:t>
            </w:r>
          </w:p>
          <w:p w14:paraId="35C3CFD3" w14:textId="00163868" w:rsidR="00873A46" w:rsidRPr="00053910" w:rsidRDefault="00873A46" w:rsidP="00873A46">
            <w:pPr>
              <w:keepNext/>
              <w:widowControl w:val="0"/>
              <w:spacing w:before="120" w:after="120"/>
              <w:jc w:val="both"/>
              <w:rPr>
                <w:b/>
                <w:bCs/>
                <w:sz w:val="22"/>
                <w:szCs w:val="22"/>
                <w:u w:val="single"/>
                <w:lang w:val="en-GB"/>
              </w:rPr>
            </w:pPr>
            <w:r w:rsidRPr="00053910">
              <w:rPr>
                <w:b/>
                <w:bCs/>
                <w:sz w:val="22"/>
                <w:szCs w:val="22"/>
                <w:u w:val="single"/>
                <w:lang w:val="en-GB"/>
              </w:rPr>
              <w:t xml:space="preserve">Answer </w:t>
            </w:r>
            <w:r w:rsidR="009A3C50">
              <w:rPr>
                <w:b/>
                <w:bCs/>
                <w:sz w:val="22"/>
                <w:szCs w:val="22"/>
                <w:u w:val="single"/>
                <w:lang w:val="en-GB"/>
              </w:rPr>
              <w:t>1</w:t>
            </w:r>
            <w:r w:rsidRPr="00053910">
              <w:rPr>
                <w:b/>
                <w:bCs/>
                <w:sz w:val="22"/>
                <w:szCs w:val="22"/>
                <w:u w:val="single"/>
                <w:lang w:val="en-GB"/>
              </w:rPr>
              <w:t>:</w:t>
            </w:r>
          </w:p>
          <w:p w14:paraId="34089610" w14:textId="120DA3FC" w:rsidR="00C71388" w:rsidRDefault="00C71388" w:rsidP="00C71388">
            <w:pPr>
              <w:keepNext/>
              <w:widowControl w:val="0"/>
              <w:spacing w:before="120" w:after="120"/>
              <w:jc w:val="both"/>
              <w:rPr>
                <w:bCs/>
                <w:sz w:val="22"/>
                <w:szCs w:val="22"/>
                <w:lang w:val="en-GB"/>
              </w:rPr>
            </w:pPr>
            <w:r w:rsidRPr="00053910">
              <w:rPr>
                <w:bCs/>
                <w:sz w:val="22"/>
                <w:szCs w:val="22"/>
                <w:lang w:val="en-GB"/>
              </w:rPr>
              <w:t xml:space="preserve">Regarding the selection criteria of 21.3.1 stated under the </w:t>
            </w:r>
            <w:r w:rsidR="00977E3D">
              <w:rPr>
                <w:bCs/>
                <w:sz w:val="22"/>
                <w:szCs w:val="22"/>
                <w:lang w:val="en-GB"/>
              </w:rPr>
              <w:t>c</w:t>
            </w:r>
            <w:r w:rsidRPr="00053910">
              <w:rPr>
                <w:bCs/>
                <w:sz w:val="22"/>
                <w:szCs w:val="22"/>
                <w:lang w:val="en-GB"/>
              </w:rPr>
              <w:t xml:space="preserve">ontract </w:t>
            </w:r>
            <w:r w:rsidR="00977E3D">
              <w:rPr>
                <w:bCs/>
                <w:sz w:val="22"/>
                <w:szCs w:val="22"/>
                <w:lang w:val="en-GB"/>
              </w:rPr>
              <w:t>n</w:t>
            </w:r>
            <w:r w:rsidRPr="00053910">
              <w:rPr>
                <w:bCs/>
                <w:sz w:val="22"/>
                <w:szCs w:val="22"/>
                <w:lang w:val="en-GB"/>
              </w:rPr>
              <w:t xml:space="preserve">otice, any specific sectorial experience (including agriculture or government sector) is not requested for “setting up/strengthening institutional risk management systems aligned with ISO 31000 and/or COSO ERM”. </w:t>
            </w:r>
          </w:p>
          <w:p w14:paraId="4871B76F" w14:textId="77777777" w:rsidR="00424F70" w:rsidRPr="00053910" w:rsidRDefault="00424F70" w:rsidP="00C71388">
            <w:pPr>
              <w:keepNext/>
              <w:widowControl w:val="0"/>
              <w:spacing w:before="120" w:after="120"/>
              <w:jc w:val="both"/>
              <w:rPr>
                <w:bCs/>
                <w:sz w:val="22"/>
                <w:szCs w:val="22"/>
                <w:lang w:val="en-GB"/>
              </w:rPr>
            </w:pPr>
          </w:p>
          <w:p w14:paraId="2D41BA77" w14:textId="6F7EAA19" w:rsidR="009A3C50" w:rsidRPr="00053910" w:rsidRDefault="009A3C50" w:rsidP="009A3C50">
            <w:pPr>
              <w:keepNext/>
              <w:widowControl w:val="0"/>
              <w:spacing w:before="120" w:after="120"/>
              <w:jc w:val="both"/>
              <w:rPr>
                <w:sz w:val="22"/>
                <w:szCs w:val="22"/>
              </w:rPr>
            </w:pPr>
            <w:r w:rsidRPr="00053910">
              <w:rPr>
                <w:b/>
                <w:bCs/>
                <w:sz w:val="22"/>
                <w:szCs w:val="22"/>
                <w:u w:val="single"/>
                <w:lang w:val="en-GB"/>
              </w:rPr>
              <w:t xml:space="preserve">Question </w:t>
            </w:r>
            <w:r>
              <w:rPr>
                <w:b/>
                <w:bCs/>
                <w:sz w:val="22"/>
                <w:szCs w:val="22"/>
                <w:u w:val="single"/>
                <w:lang w:val="en-GB"/>
              </w:rPr>
              <w:t>2</w:t>
            </w:r>
            <w:r w:rsidRPr="00053910">
              <w:rPr>
                <w:b/>
                <w:bCs/>
                <w:sz w:val="22"/>
                <w:szCs w:val="22"/>
                <w:u w:val="single"/>
                <w:lang w:val="en-GB"/>
              </w:rPr>
              <w:t>:</w:t>
            </w:r>
            <w:r w:rsidRPr="00053910">
              <w:rPr>
                <w:sz w:val="22"/>
                <w:szCs w:val="22"/>
              </w:rPr>
              <w:t xml:space="preserve"> </w:t>
            </w:r>
          </w:p>
          <w:p w14:paraId="4D9B371B" w14:textId="58888647" w:rsidR="009A3C50" w:rsidRDefault="009A3C50" w:rsidP="009A3C50">
            <w:pPr>
              <w:keepNext/>
              <w:widowControl w:val="0"/>
              <w:spacing w:before="120" w:after="120"/>
              <w:jc w:val="both"/>
              <w:rPr>
                <w:bCs/>
                <w:sz w:val="22"/>
                <w:szCs w:val="22"/>
                <w:lang w:val="en-GB"/>
              </w:rPr>
            </w:pPr>
            <w:r w:rsidRPr="00053910">
              <w:rPr>
                <w:bCs/>
                <w:sz w:val="22"/>
                <w:szCs w:val="22"/>
                <w:lang w:val="en-GB"/>
              </w:rPr>
              <w:t>Within the scope of developing ERM software, is it expected to choose &amp; implement &amp; adapt an existing ERM software solution for the institution? Or is it expected to develop an ERM software specific to the institution?</w:t>
            </w:r>
          </w:p>
          <w:p w14:paraId="569DD269" w14:textId="69506363" w:rsidR="009A3C50" w:rsidRPr="00053910" w:rsidRDefault="009A3C50" w:rsidP="009A3C50">
            <w:pPr>
              <w:keepNext/>
              <w:widowControl w:val="0"/>
              <w:spacing w:before="120" w:after="120"/>
              <w:jc w:val="both"/>
              <w:rPr>
                <w:b/>
                <w:bCs/>
                <w:sz w:val="22"/>
                <w:szCs w:val="22"/>
                <w:u w:val="single"/>
                <w:lang w:val="en-GB"/>
              </w:rPr>
            </w:pPr>
            <w:r w:rsidRPr="00053910">
              <w:rPr>
                <w:b/>
                <w:bCs/>
                <w:sz w:val="22"/>
                <w:szCs w:val="22"/>
                <w:u w:val="single"/>
                <w:lang w:val="en-GB"/>
              </w:rPr>
              <w:t xml:space="preserve">Answer </w:t>
            </w:r>
            <w:r>
              <w:rPr>
                <w:b/>
                <w:bCs/>
                <w:sz w:val="22"/>
                <w:szCs w:val="22"/>
                <w:u w:val="single"/>
                <w:lang w:val="en-GB"/>
              </w:rPr>
              <w:t>2</w:t>
            </w:r>
            <w:r w:rsidRPr="00053910">
              <w:rPr>
                <w:b/>
                <w:bCs/>
                <w:sz w:val="22"/>
                <w:szCs w:val="22"/>
                <w:u w:val="single"/>
                <w:lang w:val="en-GB"/>
              </w:rPr>
              <w:t>:</w:t>
            </w:r>
          </w:p>
          <w:p w14:paraId="194A66E2" w14:textId="4C01C094" w:rsidR="009A3C50" w:rsidRDefault="009735DB" w:rsidP="009A3C50">
            <w:pPr>
              <w:pStyle w:val="ListeParagraf"/>
              <w:ind w:left="0" w:firstLine="0"/>
              <w:rPr>
                <w:rFonts w:ascii="Times New Roman" w:eastAsia="Times New Roman" w:hAnsi="Times New Roman"/>
                <w:bCs/>
                <w:lang w:val="en-GB" w:eastAsia="de-DE"/>
              </w:rPr>
            </w:pPr>
            <w:r>
              <w:rPr>
                <w:rFonts w:ascii="Times New Roman" w:eastAsia="Times New Roman" w:hAnsi="Times New Roman"/>
                <w:bCs/>
                <w:lang w:val="en-GB" w:eastAsia="de-DE"/>
              </w:rPr>
              <w:t>A</w:t>
            </w:r>
            <w:r w:rsidR="009A3C50">
              <w:rPr>
                <w:rFonts w:ascii="Times New Roman" w:eastAsia="Times New Roman" w:hAnsi="Times New Roman"/>
                <w:bCs/>
                <w:lang w:val="en-GB" w:eastAsia="de-DE"/>
              </w:rPr>
              <w:t xml:space="preserve">s stated in the contact description, the scope of contract covers </w:t>
            </w:r>
            <w:r w:rsidR="009A3C50" w:rsidRPr="000B06F3">
              <w:rPr>
                <w:rFonts w:ascii="Times New Roman" w:eastAsia="Times New Roman" w:hAnsi="Times New Roman"/>
                <w:bCs/>
                <w:lang w:val="en-GB" w:eastAsia="de-DE"/>
              </w:rPr>
              <w:t>development of a risk</w:t>
            </w:r>
            <w:r w:rsidR="009A3C50">
              <w:rPr>
                <w:rFonts w:ascii="Times New Roman" w:eastAsia="Times New Roman" w:hAnsi="Times New Roman"/>
                <w:bCs/>
                <w:lang w:val="en-GB" w:eastAsia="de-DE"/>
              </w:rPr>
              <w:t xml:space="preserve"> </w:t>
            </w:r>
            <w:r w:rsidR="009A3C50" w:rsidRPr="000B06F3">
              <w:rPr>
                <w:rFonts w:ascii="Times New Roman" w:eastAsia="Times New Roman" w:hAnsi="Times New Roman"/>
                <w:bCs/>
                <w:lang w:val="en-GB" w:eastAsia="de-DE"/>
              </w:rPr>
              <w:t>management software for efficient and effective implementation of the integrated risk management framework</w:t>
            </w:r>
            <w:r w:rsidR="009A3C50">
              <w:rPr>
                <w:rFonts w:ascii="Times New Roman" w:eastAsia="Times New Roman" w:hAnsi="Times New Roman"/>
                <w:bCs/>
                <w:lang w:val="en-GB" w:eastAsia="de-DE"/>
              </w:rPr>
              <w:t>,</w:t>
            </w:r>
            <w:r w:rsidR="009A3C50" w:rsidRPr="000B06F3">
              <w:rPr>
                <w:rFonts w:ascii="Times New Roman" w:eastAsia="Times New Roman" w:hAnsi="Times New Roman"/>
                <w:bCs/>
                <w:lang w:val="en-GB" w:eastAsia="de-DE"/>
              </w:rPr>
              <w:t xml:space="preserve"> </w:t>
            </w:r>
            <w:r w:rsidR="009A3C50">
              <w:rPr>
                <w:rFonts w:ascii="Times New Roman" w:eastAsia="Times New Roman" w:hAnsi="Times New Roman"/>
                <w:bCs/>
                <w:lang w:val="en-GB" w:eastAsia="de-DE"/>
              </w:rPr>
              <w:t>which should be specific to the requirements of the institution. Therefore,</w:t>
            </w:r>
            <w:r w:rsidR="00FB4F76">
              <w:rPr>
                <w:rFonts w:ascii="Times New Roman" w:eastAsia="Times New Roman" w:hAnsi="Times New Roman"/>
                <w:bCs/>
                <w:lang w:val="en-GB" w:eastAsia="de-DE"/>
              </w:rPr>
              <w:t xml:space="preserve"> within the scope of this contract,</w:t>
            </w:r>
            <w:r w:rsidR="009A3C50">
              <w:rPr>
                <w:rFonts w:ascii="Times New Roman" w:eastAsia="Times New Roman" w:hAnsi="Times New Roman"/>
                <w:bCs/>
                <w:lang w:val="en-GB" w:eastAsia="de-DE"/>
              </w:rPr>
              <w:t xml:space="preserve"> the </w:t>
            </w:r>
            <w:r w:rsidR="00FB4F76">
              <w:rPr>
                <w:rFonts w:ascii="Times New Roman" w:eastAsia="Times New Roman" w:hAnsi="Times New Roman"/>
                <w:bCs/>
                <w:lang w:val="en-GB" w:eastAsia="de-DE"/>
              </w:rPr>
              <w:t>c</w:t>
            </w:r>
            <w:r w:rsidR="009A3C50">
              <w:rPr>
                <w:rFonts w:ascii="Times New Roman" w:eastAsia="Times New Roman" w:hAnsi="Times New Roman"/>
                <w:bCs/>
                <w:lang w:val="en-GB" w:eastAsia="de-DE"/>
              </w:rPr>
              <w:t xml:space="preserve">ontractor will be expected to develop </w:t>
            </w:r>
            <w:r w:rsidR="0066786F">
              <w:rPr>
                <w:rFonts w:ascii="Times New Roman" w:eastAsia="Times New Roman" w:hAnsi="Times New Roman"/>
                <w:bCs/>
                <w:lang w:val="en-GB" w:eastAsia="de-DE"/>
              </w:rPr>
              <w:t xml:space="preserve">a software specific to the institution. </w:t>
            </w:r>
          </w:p>
          <w:p w14:paraId="75AED23D" w14:textId="5E919123" w:rsidR="009735DB" w:rsidRDefault="009735DB" w:rsidP="009A3C50">
            <w:pPr>
              <w:pStyle w:val="ListeParagraf"/>
              <w:ind w:left="0" w:firstLine="0"/>
              <w:rPr>
                <w:rFonts w:ascii="Times New Roman" w:eastAsia="Times New Roman" w:hAnsi="Times New Roman"/>
                <w:bCs/>
                <w:lang w:val="en-GB" w:eastAsia="de-DE"/>
              </w:rPr>
            </w:pPr>
          </w:p>
          <w:p w14:paraId="637FF364" w14:textId="38072FC4" w:rsidR="009735DB" w:rsidRDefault="00FB4F76" w:rsidP="00225F4D">
            <w:pPr>
              <w:pStyle w:val="ListeParagraf"/>
              <w:ind w:left="0" w:firstLine="0"/>
              <w:rPr>
                <w:rFonts w:ascii="Times New Roman" w:eastAsia="Times New Roman" w:hAnsi="Times New Roman"/>
                <w:bCs/>
                <w:lang w:val="en-GB" w:eastAsia="de-DE"/>
              </w:rPr>
            </w:pPr>
            <w:r>
              <w:rPr>
                <w:rFonts w:ascii="Times New Roman" w:eastAsia="Times New Roman" w:hAnsi="Times New Roman"/>
                <w:bCs/>
                <w:lang w:val="en-GB" w:eastAsia="de-DE"/>
              </w:rPr>
              <w:t>On the other hand, r</w:t>
            </w:r>
            <w:r w:rsidR="009735DB">
              <w:rPr>
                <w:rFonts w:ascii="Times New Roman" w:eastAsia="Times New Roman" w:hAnsi="Times New Roman"/>
                <w:bCs/>
                <w:lang w:val="en-GB" w:eastAsia="de-DE"/>
              </w:rPr>
              <w:t xml:space="preserve">egarding the selection criteria 21.3.2 of the contract notice, </w:t>
            </w:r>
            <w:r w:rsidR="0024354A">
              <w:rPr>
                <w:rFonts w:ascii="Times New Roman" w:eastAsia="Times New Roman" w:hAnsi="Times New Roman"/>
                <w:bCs/>
                <w:lang w:val="en-GB" w:eastAsia="de-DE"/>
              </w:rPr>
              <w:t>development of the software is not limited with a specific field (i.e. not limited with ERM software). Meanwhile, p</w:t>
            </w:r>
            <w:r w:rsidR="0024354A" w:rsidRPr="0024354A">
              <w:rPr>
                <w:rFonts w:ascii="Times New Roman" w:eastAsia="Times New Roman" w:hAnsi="Times New Roman"/>
                <w:bCs/>
                <w:lang w:val="en-GB" w:eastAsia="de-DE"/>
              </w:rPr>
              <w:t xml:space="preserve">lease also note that regarding the scope of </w:t>
            </w:r>
            <w:r w:rsidR="0024354A" w:rsidRPr="00BF3CF4">
              <w:rPr>
                <w:rFonts w:ascii="Times New Roman" w:eastAsia="Times New Roman" w:hAnsi="Times New Roman"/>
                <w:bCs/>
                <w:lang w:val="en-GB" w:eastAsia="de-DE"/>
              </w:rPr>
              <w:t xml:space="preserve">each </w:t>
            </w:r>
            <w:r w:rsidR="0024354A" w:rsidRPr="0024354A">
              <w:rPr>
                <w:rFonts w:ascii="Times New Roman" w:eastAsia="Times New Roman" w:hAnsi="Times New Roman"/>
                <w:bCs/>
                <w:lang w:val="en-GB" w:eastAsia="de-DE"/>
              </w:rPr>
              <w:t xml:space="preserve">criteria, the evaluation of the applications will be realized by the nominated </w:t>
            </w:r>
            <w:r w:rsidR="009F4901">
              <w:rPr>
                <w:rFonts w:ascii="Times New Roman" w:eastAsia="Times New Roman" w:hAnsi="Times New Roman"/>
                <w:bCs/>
                <w:lang w:val="en-GB" w:eastAsia="de-DE"/>
              </w:rPr>
              <w:t>e</w:t>
            </w:r>
            <w:r w:rsidR="0024354A" w:rsidRPr="0024354A">
              <w:rPr>
                <w:rFonts w:ascii="Times New Roman" w:eastAsia="Times New Roman" w:hAnsi="Times New Roman"/>
                <w:bCs/>
                <w:lang w:val="en-GB" w:eastAsia="de-DE"/>
              </w:rPr>
              <w:t xml:space="preserve">valuation </w:t>
            </w:r>
            <w:r w:rsidR="009F4901">
              <w:rPr>
                <w:rFonts w:ascii="Times New Roman" w:eastAsia="Times New Roman" w:hAnsi="Times New Roman"/>
                <w:bCs/>
                <w:lang w:val="en-GB" w:eastAsia="de-DE"/>
              </w:rPr>
              <w:t>c</w:t>
            </w:r>
            <w:r w:rsidR="0024354A" w:rsidRPr="0024354A">
              <w:rPr>
                <w:rFonts w:ascii="Times New Roman" w:eastAsia="Times New Roman" w:hAnsi="Times New Roman"/>
                <w:bCs/>
                <w:lang w:val="en-GB" w:eastAsia="de-DE"/>
              </w:rPr>
              <w:t xml:space="preserve">ommittee and the </w:t>
            </w:r>
            <w:r w:rsidR="009F4901">
              <w:rPr>
                <w:rFonts w:ascii="Times New Roman" w:eastAsia="Times New Roman" w:hAnsi="Times New Roman"/>
                <w:bCs/>
                <w:lang w:val="en-GB" w:eastAsia="de-DE"/>
              </w:rPr>
              <w:t>c</w:t>
            </w:r>
            <w:r w:rsidR="0024354A" w:rsidRPr="0024354A">
              <w:rPr>
                <w:rFonts w:ascii="Times New Roman" w:eastAsia="Times New Roman" w:hAnsi="Times New Roman"/>
                <w:bCs/>
                <w:lang w:val="en-GB" w:eastAsia="de-DE"/>
              </w:rPr>
              <w:t xml:space="preserve">ommittee will make the evaluation reference by reference on the basis of the requirements of the selection criteria. </w:t>
            </w:r>
            <w:r w:rsidR="0024354A">
              <w:rPr>
                <w:rFonts w:ascii="Times New Roman" w:eastAsia="Times New Roman" w:hAnsi="Times New Roman"/>
                <w:bCs/>
                <w:lang w:val="en-GB" w:eastAsia="de-DE"/>
              </w:rPr>
              <w:t xml:space="preserve">The </w:t>
            </w:r>
            <w:r w:rsidR="0075652C">
              <w:rPr>
                <w:rFonts w:ascii="Times New Roman" w:eastAsia="Times New Roman" w:hAnsi="Times New Roman"/>
                <w:bCs/>
                <w:lang w:val="en-GB" w:eastAsia="de-DE"/>
              </w:rPr>
              <w:t>c</w:t>
            </w:r>
            <w:r w:rsidR="0024354A">
              <w:rPr>
                <w:rFonts w:ascii="Times New Roman" w:eastAsia="Times New Roman" w:hAnsi="Times New Roman"/>
                <w:bCs/>
                <w:lang w:val="en-GB" w:eastAsia="de-DE"/>
              </w:rPr>
              <w:t xml:space="preserve">ontracting </w:t>
            </w:r>
            <w:r w:rsidR="0075652C">
              <w:rPr>
                <w:rFonts w:ascii="Times New Roman" w:eastAsia="Times New Roman" w:hAnsi="Times New Roman"/>
                <w:bCs/>
                <w:lang w:val="en-GB" w:eastAsia="de-DE"/>
              </w:rPr>
              <w:t>a</w:t>
            </w:r>
            <w:r w:rsidR="0024354A">
              <w:rPr>
                <w:rFonts w:ascii="Times New Roman" w:eastAsia="Times New Roman" w:hAnsi="Times New Roman"/>
                <w:bCs/>
                <w:lang w:val="en-GB" w:eastAsia="de-DE"/>
              </w:rPr>
              <w:t xml:space="preserve">uthority cannot give an opinion on the assessment of </w:t>
            </w:r>
            <w:r w:rsidR="009F4901">
              <w:rPr>
                <w:rFonts w:ascii="Times New Roman" w:eastAsia="Times New Roman" w:hAnsi="Times New Roman"/>
                <w:bCs/>
                <w:lang w:val="en-GB" w:eastAsia="de-DE"/>
              </w:rPr>
              <w:t xml:space="preserve">the references </w:t>
            </w:r>
            <w:proofErr w:type="gramStart"/>
            <w:r w:rsidR="009F4901">
              <w:rPr>
                <w:rFonts w:ascii="Times New Roman" w:eastAsia="Times New Roman" w:hAnsi="Times New Roman"/>
                <w:bCs/>
                <w:lang w:val="en-GB" w:eastAsia="de-DE"/>
              </w:rPr>
              <w:t>on the basis of</w:t>
            </w:r>
            <w:proofErr w:type="gramEnd"/>
            <w:r w:rsidR="009F4901">
              <w:rPr>
                <w:rFonts w:ascii="Times New Roman" w:eastAsia="Times New Roman" w:hAnsi="Times New Roman"/>
                <w:bCs/>
                <w:lang w:val="en-GB" w:eastAsia="de-DE"/>
              </w:rPr>
              <w:t xml:space="preserve"> the requirements of selection criterion.</w:t>
            </w:r>
            <w:r w:rsidR="00225F4D">
              <w:rPr>
                <w:rFonts w:ascii="Times New Roman" w:eastAsia="Times New Roman" w:hAnsi="Times New Roman"/>
                <w:bCs/>
                <w:lang w:val="en-GB" w:eastAsia="de-DE"/>
              </w:rPr>
              <w:t xml:space="preserve"> </w:t>
            </w:r>
            <w:r w:rsidR="0024354A">
              <w:rPr>
                <w:rFonts w:ascii="Times New Roman" w:eastAsia="Times New Roman" w:hAnsi="Times New Roman"/>
                <w:bCs/>
                <w:lang w:val="en-GB" w:eastAsia="de-DE"/>
              </w:rPr>
              <w:t>P</w:t>
            </w:r>
            <w:r w:rsidR="009735DB">
              <w:rPr>
                <w:rFonts w:ascii="Times New Roman" w:eastAsia="Times New Roman" w:hAnsi="Times New Roman"/>
                <w:bCs/>
                <w:lang w:val="en-GB" w:eastAsia="de-DE"/>
              </w:rPr>
              <w:t>lease also see Answer 3 and Answer 4 for further details.</w:t>
            </w:r>
          </w:p>
          <w:p w14:paraId="4EC62D6A" w14:textId="77777777" w:rsidR="00225F4D" w:rsidRDefault="00225F4D" w:rsidP="00225F4D">
            <w:pPr>
              <w:pStyle w:val="ListeParagraf"/>
              <w:ind w:left="0" w:firstLine="0"/>
              <w:rPr>
                <w:rFonts w:ascii="Times New Roman" w:eastAsia="Times New Roman" w:hAnsi="Times New Roman"/>
                <w:bCs/>
                <w:lang w:val="en-GB" w:eastAsia="de-DE"/>
              </w:rPr>
            </w:pPr>
          </w:p>
          <w:p w14:paraId="68FE87FB" w14:textId="35940CDD" w:rsidR="009A3C50" w:rsidRDefault="009A3C50" w:rsidP="00B649D4">
            <w:pPr>
              <w:keepNext/>
              <w:widowControl w:val="0"/>
              <w:spacing w:before="120" w:after="120"/>
              <w:jc w:val="both"/>
              <w:rPr>
                <w:b/>
                <w:bCs/>
                <w:sz w:val="22"/>
                <w:szCs w:val="22"/>
                <w:u w:val="single"/>
                <w:lang w:val="en-GB"/>
              </w:rPr>
            </w:pPr>
          </w:p>
          <w:p w14:paraId="0BBE569A" w14:textId="200CFD08" w:rsidR="00225F4D" w:rsidRDefault="00225F4D" w:rsidP="00B649D4">
            <w:pPr>
              <w:keepNext/>
              <w:widowControl w:val="0"/>
              <w:spacing w:before="120" w:after="120"/>
              <w:jc w:val="both"/>
              <w:rPr>
                <w:b/>
                <w:bCs/>
                <w:sz w:val="22"/>
                <w:szCs w:val="22"/>
                <w:u w:val="single"/>
                <w:lang w:val="en-GB"/>
              </w:rPr>
            </w:pPr>
          </w:p>
          <w:p w14:paraId="2D53E064" w14:textId="77777777" w:rsidR="00225F4D" w:rsidRDefault="00225F4D" w:rsidP="00B649D4">
            <w:pPr>
              <w:keepNext/>
              <w:widowControl w:val="0"/>
              <w:spacing w:before="120" w:after="120"/>
              <w:jc w:val="both"/>
              <w:rPr>
                <w:b/>
                <w:bCs/>
                <w:sz w:val="22"/>
                <w:szCs w:val="22"/>
                <w:u w:val="single"/>
                <w:lang w:val="en-GB"/>
              </w:rPr>
            </w:pPr>
          </w:p>
          <w:p w14:paraId="5BB9BA21" w14:textId="7A45D204" w:rsidR="00B649D4" w:rsidRPr="00053910" w:rsidRDefault="00B649D4" w:rsidP="00B649D4">
            <w:pPr>
              <w:keepNext/>
              <w:widowControl w:val="0"/>
              <w:spacing w:before="120" w:after="120"/>
              <w:jc w:val="both"/>
              <w:rPr>
                <w:sz w:val="22"/>
                <w:szCs w:val="22"/>
              </w:rPr>
            </w:pPr>
            <w:r w:rsidRPr="00053910">
              <w:rPr>
                <w:b/>
                <w:bCs/>
                <w:sz w:val="22"/>
                <w:szCs w:val="22"/>
                <w:u w:val="single"/>
                <w:lang w:val="en-GB"/>
              </w:rPr>
              <w:t xml:space="preserve">Question </w:t>
            </w:r>
            <w:r w:rsidR="009A3C50">
              <w:rPr>
                <w:b/>
                <w:bCs/>
                <w:sz w:val="22"/>
                <w:szCs w:val="22"/>
                <w:u w:val="single"/>
                <w:lang w:val="en-GB"/>
              </w:rPr>
              <w:t>3</w:t>
            </w:r>
            <w:r w:rsidRPr="00053910">
              <w:rPr>
                <w:b/>
                <w:bCs/>
                <w:sz w:val="22"/>
                <w:szCs w:val="22"/>
                <w:u w:val="single"/>
                <w:lang w:val="en-GB"/>
              </w:rPr>
              <w:t>:</w:t>
            </w:r>
            <w:r w:rsidRPr="00053910">
              <w:rPr>
                <w:sz w:val="22"/>
                <w:szCs w:val="22"/>
              </w:rPr>
              <w:t xml:space="preserve"> </w:t>
            </w:r>
          </w:p>
          <w:p w14:paraId="7F266E15" w14:textId="77777777" w:rsidR="00B649D4" w:rsidRPr="00053910" w:rsidRDefault="00B649D4" w:rsidP="00B649D4">
            <w:pPr>
              <w:keepNext/>
              <w:widowControl w:val="0"/>
              <w:spacing w:before="120" w:after="120"/>
              <w:jc w:val="both"/>
              <w:rPr>
                <w:bCs/>
                <w:sz w:val="22"/>
                <w:szCs w:val="22"/>
                <w:lang w:val="en-GB"/>
              </w:rPr>
            </w:pPr>
            <w:r w:rsidRPr="00053910">
              <w:rPr>
                <w:sz w:val="22"/>
                <w:szCs w:val="22"/>
              </w:rPr>
              <w:t>A</w:t>
            </w:r>
            <w:r w:rsidRPr="00053910">
              <w:rPr>
                <w:bCs/>
                <w:sz w:val="22"/>
                <w:szCs w:val="22"/>
                <w:lang w:val="en-GB"/>
              </w:rPr>
              <w:t xml:space="preserve">bout the selection criteria (point 21.3.2 of the </w:t>
            </w:r>
            <w:r>
              <w:rPr>
                <w:bCs/>
                <w:sz w:val="22"/>
                <w:szCs w:val="22"/>
                <w:lang w:val="en-GB"/>
              </w:rPr>
              <w:t>contract</w:t>
            </w:r>
            <w:r w:rsidRPr="00053910">
              <w:rPr>
                <w:bCs/>
                <w:sz w:val="22"/>
                <w:szCs w:val="22"/>
                <w:lang w:val="en-GB"/>
              </w:rPr>
              <w:t xml:space="preserve"> notice):</w:t>
            </w:r>
          </w:p>
          <w:p w14:paraId="005A23A1" w14:textId="0778165E" w:rsidR="00B649D4" w:rsidRPr="00053910" w:rsidRDefault="00B649D4" w:rsidP="00B649D4">
            <w:pPr>
              <w:keepNext/>
              <w:widowControl w:val="0"/>
              <w:spacing w:before="120" w:after="120"/>
              <w:jc w:val="both"/>
              <w:rPr>
                <w:bCs/>
                <w:sz w:val="22"/>
                <w:szCs w:val="22"/>
                <w:lang w:val="en-GB"/>
              </w:rPr>
            </w:pPr>
            <w:r w:rsidRPr="00053910">
              <w:rPr>
                <w:bCs/>
                <w:sz w:val="22"/>
                <w:szCs w:val="22"/>
                <w:lang w:val="en-GB"/>
              </w:rPr>
              <w:t>The text states the requirement of a single</w:t>
            </w:r>
            <w:r w:rsidR="00FB4F76">
              <w:rPr>
                <w:bCs/>
                <w:sz w:val="22"/>
                <w:szCs w:val="22"/>
                <w:lang w:val="en-GB"/>
              </w:rPr>
              <w:t xml:space="preserve"> contract/</w:t>
            </w:r>
            <w:r w:rsidRPr="00053910">
              <w:rPr>
                <w:bCs/>
                <w:sz w:val="22"/>
                <w:szCs w:val="22"/>
                <w:lang w:val="en-GB"/>
              </w:rPr>
              <w:t>assignment with a budget of at least EUR 300.000 in the field of software development in compliance with ISO 27001 procedures. Provided that the standard ISO 27001 is normally assigned to the overall processes of a company and not to a single product, how does this prescription must be interpreted? Must the software have been developed by a company certified ISO 27001 or has it been developed following the standard ISO 27001, even in the absence of a specific certification? In such a case, how will it proved?</w:t>
            </w:r>
          </w:p>
          <w:p w14:paraId="1D157EAE" w14:textId="6396E501" w:rsidR="00B649D4" w:rsidRPr="00053910" w:rsidRDefault="00B649D4" w:rsidP="00B649D4">
            <w:pPr>
              <w:keepNext/>
              <w:widowControl w:val="0"/>
              <w:spacing w:before="120" w:after="120"/>
              <w:jc w:val="both"/>
              <w:rPr>
                <w:b/>
                <w:bCs/>
                <w:sz w:val="22"/>
                <w:szCs w:val="22"/>
                <w:u w:val="single"/>
                <w:lang w:val="en-GB"/>
              </w:rPr>
            </w:pPr>
            <w:r w:rsidRPr="00053910">
              <w:rPr>
                <w:b/>
                <w:bCs/>
                <w:sz w:val="22"/>
                <w:szCs w:val="22"/>
                <w:u w:val="single"/>
                <w:lang w:val="en-GB"/>
              </w:rPr>
              <w:t xml:space="preserve">Answer </w:t>
            </w:r>
            <w:r w:rsidR="009A3C50">
              <w:rPr>
                <w:b/>
                <w:bCs/>
                <w:sz w:val="22"/>
                <w:szCs w:val="22"/>
                <w:u w:val="single"/>
                <w:lang w:val="en-GB"/>
              </w:rPr>
              <w:t>3</w:t>
            </w:r>
            <w:r w:rsidRPr="00053910">
              <w:rPr>
                <w:b/>
                <w:bCs/>
                <w:sz w:val="22"/>
                <w:szCs w:val="22"/>
                <w:u w:val="single"/>
                <w:lang w:val="en-GB"/>
              </w:rPr>
              <w:t>:</w:t>
            </w:r>
          </w:p>
          <w:p w14:paraId="2545F68B" w14:textId="2AD24BE1" w:rsidR="00225F4D" w:rsidRPr="00225F4D" w:rsidRDefault="00B649D4" w:rsidP="00225F4D">
            <w:pPr>
              <w:keepNext/>
              <w:widowControl w:val="0"/>
              <w:spacing w:before="120" w:after="120"/>
              <w:jc w:val="both"/>
              <w:rPr>
                <w:bCs/>
                <w:sz w:val="22"/>
                <w:szCs w:val="22"/>
                <w:lang w:val="en-GB"/>
              </w:rPr>
            </w:pPr>
            <w:r>
              <w:rPr>
                <w:bCs/>
                <w:sz w:val="22"/>
                <w:szCs w:val="22"/>
                <w:lang w:val="en-GB"/>
              </w:rPr>
              <w:t xml:space="preserve">The software should be developed following the </w:t>
            </w:r>
            <w:r w:rsidRPr="00053910">
              <w:rPr>
                <w:bCs/>
                <w:sz w:val="22"/>
                <w:szCs w:val="22"/>
                <w:lang w:val="en-GB"/>
              </w:rPr>
              <w:t>ISO 27001 procedures</w:t>
            </w:r>
            <w:r>
              <w:rPr>
                <w:bCs/>
                <w:sz w:val="22"/>
                <w:szCs w:val="22"/>
                <w:lang w:val="en-GB"/>
              </w:rPr>
              <w:t>.</w:t>
            </w:r>
            <w:r w:rsidRPr="00424F70">
              <w:rPr>
                <w:bCs/>
                <w:sz w:val="22"/>
                <w:szCs w:val="22"/>
                <w:lang w:val="en-GB"/>
              </w:rPr>
              <w:t xml:space="preserve"> </w:t>
            </w:r>
            <w:r>
              <w:rPr>
                <w:bCs/>
                <w:sz w:val="22"/>
                <w:szCs w:val="22"/>
                <w:lang w:val="en-GB"/>
              </w:rPr>
              <w:t>With that regard, i</w:t>
            </w:r>
            <w:r w:rsidRPr="00424F70">
              <w:rPr>
                <w:bCs/>
                <w:sz w:val="22"/>
                <w:szCs w:val="22"/>
                <w:lang w:val="en-GB"/>
              </w:rPr>
              <w:t>t is expected that the company who develops the software has the qualification and</w:t>
            </w:r>
            <w:r>
              <w:rPr>
                <w:bCs/>
                <w:sz w:val="22"/>
                <w:szCs w:val="22"/>
                <w:lang w:val="en-GB"/>
              </w:rPr>
              <w:t xml:space="preserve"> certification to be able to develop the requested software</w:t>
            </w:r>
            <w:r w:rsidRPr="00053910">
              <w:rPr>
                <w:bCs/>
                <w:sz w:val="22"/>
                <w:szCs w:val="22"/>
                <w:lang w:val="en-GB"/>
              </w:rPr>
              <w:t xml:space="preserve"> </w:t>
            </w:r>
            <w:r>
              <w:rPr>
                <w:bCs/>
                <w:sz w:val="22"/>
                <w:szCs w:val="22"/>
                <w:lang w:val="en-GB"/>
              </w:rPr>
              <w:t xml:space="preserve">in compliance with </w:t>
            </w:r>
            <w:r w:rsidRPr="00053910">
              <w:rPr>
                <w:bCs/>
                <w:sz w:val="22"/>
                <w:szCs w:val="22"/>
                <w:lang w:val="en-GB"/>
              </w:rPr>
              <w:t>ISO 27001</w:t>
            </w:r>
            <w:r>
              <w:rPr>
                <w:bCs/>
                <w:sz w:val="22"/>
                <w:szCs w:val="22"/>
                <w:lang w:val="en-GB"/>
              </w:rPr>
              <w:t xml:space="preserve"> standards.</w:t>
            </w:r>
            <w:r w:rsidR="009735DB">
              <w:rPr>
                <w:bCs/>
                <w:sz w:val="22"/>
                <w:szCs w:val="22"/>
                <w:lang w:val="en-GB"/>
              </w:rPr>
              <w:t xml:space="preserve"> However, in any case, </w:t>
            </w:r>
            <w:r w:rsidR="00FB4F76">
              <w:rPr>
                <w:bCs/>
                <w:sz w:val="22"/>
                <w:szCs w:val="22"/>
                <w:lang w:val="en-GB"/>
              </w:rPr>
              <w:t xml:space="preserve">the admissibility of the </w:t>
            </w:r>
            <w:r w:rsidR="009735DB">
              <w:rPr>
                <w:bCs/>
                <w:sz w:val="22"/>
                <w:szCs w:val="22"/>
                <w:lang w:val="en-GB"/>
              </w:rPr>
              <w:t xml:space="preserve">proof documents will be </w:t>
            </w:r>
            <w:r w:rsidR="00FB4F76">
              <w:rPr>
                <w:bCs/>
                <w:sz w:val="22"/>
                <w:szCs w:val="22"/>
                <w:lang w:val="en-GB"/>
              </w:rPr>
              <w:t>assessed case by case</w:t>
            </w:r>
            <w:r w:rsidR="009735DB">
              <w:rPr>
                <w:bCs/>
                <w:sz w:val="22"/>
                <w:szCs w:val="22"/>
                <w:lang w:val="en-GB"/>
              </w:rPr>
              <w:t xml:space="preserve"> by the nominated evaluation committee</w:t>
            </w:r>
            <w:r w:rsidR="00FB4F76">
              <w:rPr>
                <w:bCs/>
                <w:sz w:val="22"/>
                <w:szCs w:val="22"/>
                <w:lang w:val="en-GB"/>
              </w:rPr>
              <w:t xml:space="preserve"> in line with the restricted tender procedure. </w:t>
            </w:r>
            <w:r w:rsidR="00225F4D" w:rsidRPr="00225F4D">
              <w:rPr>
                <w:bCs/>
                <w:sz w:val="22"/>
                <w:szCs w:val="22"/>
                <w:lang w:val="en-GB"/>
              </w:rPr>
              <w:t>Please also see Answer 2 and Answer 4 for further details.</w:t>
            </w:r>
          </w:p>
          <w:p w14:paraId="297FB7E3" w14:textId="77777777" w:rsidR="00B649D4" w:rsidRDefault="00B649D4" w:rsidP="00873A46">
            <w:pPr>
              <w:keepNext/>
              <w:widowControl w:val="0"/>
              <w:spacing w:before="120" w:after="120"/>
              <w:jc w:val="both"/>
              <w:rPr>
                <w:b/>
                <w:bCs/>
                <w:sz w:val="22"/>
                <w:szCs w:val="22"/>
                <w:u w:val="single"/>
                <w:lang w:val="en-GB"/>
              </w:rPr>
            </w:pPr>
          </w:p>
          <w:p w14:paraId="4D96EC13" w14:textId="2EDC3374" w:rsidR="00873A46" w:rsidRPr="00053910" w:rsidRDefault="00873A46" w:rsidP="00873A46">
            <w:pPr>
              <w:keepNext/>
              <w:widowControl w:val="0"/>
              <w:spacing w:before="120" w:after="120"/>
              <w:jc w:val="both"/>
              <w:rPr>
                <w:sz w:val="22"/>
                <w:szCs w:val="22"/>
              </w:rPr>
            </w:pPr>
            <w:r w:rsidRPr="00053910">
              <w:rPr>
                <w:b/>
                <w:bCs/>
                <w:sz w:val="22"/>
                <w:szCs w:val="22"/>
                <w:u w:val="single"/>
                <w:lang w:val="en-GB"/>
              </w:rPr>
              <w:t xml:space="preserve">Question </w:t>
            </w:r>
            <w:r w:rsidR="009A3C50">
              <w:rPr>
                <w:b/>
                <w:bCs/>
                <w:sz w:val="22"/>
                <w:szCs w:val="22"/>
                <w:u w:val="single"/>
                <w:lang w:val="en-GB"/>
              </w:rPr>
              <w:t>4</w:t>
            </w:r>
            <w:r w:rsidRPr="00053910">
              <w:rPr>
                <w:b/>
                <w:bCs/>
                <w:sz w:val="22"/>
                <w:szCs w:val="22"/>
                <w:u w:val="single"/>
                <w:lang w:val="en-GB"/>
              </w:rPr>
              <w:t>:</w:t>
            </w:r>
            <w:r w:rsidRPr="00053910">
              <w:rPr>
                <w:sz w:val="22"/>
                <w:szCs w:val="22"/>
              </w:rPr>
              <w:t xml:space="preserve"> </w:t>
            </w:r>
          </w:p>
          <w:p w14:paraId="31EB6B12" w14:textId="06C03A83" w:rsidR="00873A46" w:rsidRPr="00053910" w:rsidRDefault="00873A46" w:rsidP="00053910">
            <w:pPr>
              <w:jc w:val="both"/>
              <w:rPr>
                <w:sz w:val="22"/>
                <w:szCs w:val="22"/>
                <w:lang w:val="en-GB"/>
              </w:rPr>
            </w:pPr>
            <w:r w:rsidRPr="00053910">
              <w:rPr>
                <w:sz w:val="22"/>
                <w:szCs w:val="22"/>
                <w:lang w:val="en-GB"/>
              </w:rPr>
              <w:t xml:space="preserve">Does the software development experience sought within the scope of technical capacity criteria include only the ERM software development experience? Or is it meant any software development experience that complies with the ISO 27001 &amp; also is above the specified amount? </w:t>
            </w:r>
          </w:p>
          <w:p w14:paraId="2F776709" w14:textId="50AEA5AF" w:rsidR="00873A46" w:rsidRPr="00053910" w:rsidRDefault="00873A46" w:rsidP="00873A46">
            <w:pPr>
              <w:keepNext/>
              <w:widowControl w:val="0"/>
              <w:spacing w:before="120" w:after="120"/>
              <w:jc w:val="both"/>
              <w:rPr>
                <w:b/>
                <w:bCs/>
                <w:sz w:val="22"/>
                <w:szCs w:val="22"/>
                <w:u w:val="single"/>
                <w:lang w:val="en-GB"/>
              </w:rPr>
            </w:pPr>
            <w:r w:rsidRPr="00053910">
              <w:rPr>
                <w:b/>
                <w:bCs/>
                <w:sz w:val="22"/>
                <w:szCs w:val="22"/>
                <w:u w:val="single"/>
                <w:lang w:val="en-GB"/>
              </w:rPr>
              <w:t>Answer</w:t>
            </w:r>
            <w:r w:rsidR="009A3C50">
              <w:rPr>
                <w:b/>
                <w:bCs/>
                <w:sz w:val="22"/>
                <w:szCs w:val="22"/>
                <w:u w:val="single"/>
                <w:lang w:val="en-GB"/>
              </w:rPr>
              <w:t>4</w:t>
            </w:r>
            <w:r w:rsidRPr="00053910">
              <w:rPr>
                <w:b/>
                <w:bCs/>
                <w:sz w:val="22"/>
                <w:szCs w:val="22"/>
                <w:u w:val="single"/>
                <w:lang w:val="en-GB"/>
              </w:rPr>
              <w:t>:</w:t>
            </w:r>
          </w:p>
          <w:p w14:paraId="12B8816A" w14:textId="5F05865D" w:rsidR="00053910" w:rsidRDefault="00C71388" w:rsidP="00053910">
            <w:pPr>
              <w:jc w:val="both"/>
              <w:rPr>
                <w:sz w:val="22"/>
                <w:szCs w:val="22"/>
                <w:lang w:val="en-GB"/>
              </w:rPr>
            </w:pPr>
            <w:r w:rsidRPr="00053910">
              <w:rPr>
                <w:sz w:val="22"/>
                <w:szCs w:val="22"/>
                <w:lang w:val="en-GB"/>
              </w:rPr>
              <w:t>Regarding the selection criteria of 21.3.</w:t>
            </w:r>
            <w:r w:rsidR="00370F48">
              <w:rPr>
                <w:sz w:val="22"/>
                <w:szCs w:val="22"/>
                <w:lang w:val="en-GB"/>
              </w:rPr>
              <w:t>2</w:t>
            </w:r>
            <w:r w:rsidR="00370F48" w:rsidRPr="00053910">
              <w:rPr>
                <w:sz w:val="22"/>
                <w:szCs w:val="22"/>
                <w:lang w:val="en-GB"/>
              </w:rPr>
              <w:t xml:space="preserve"> </w:t>
            </w:r>
            <w:r w:rsidRPr="00053910">
              <w:rPr>
                <w:sz w:val="22"/>
                <w:szCs w:val="22"/>
                <w:lang w:val="en-GB"/>
              </w:rPr>
              <w:t xml:space="preserve">stated under the </w:t>
            </w:r>
            <w:r w:rsidR="00CB6184">
              <w:rPr>
                <w:sz w:val="22"/>
                <w:szCs w:val="22"/>
                <w:lang w:val="en-GB"/>
              </w:rPr>
              <w:t>c</w:t>
            </w:r>
            <w:r w:rsidRPr="00053910">
              <w:rPr>
                <w:sz w:val="22"/>
                <w:szCs w:val="22"/>
                <w:lang w:val="en-GB"/>
              </w:rPr>
              <w:t xml:space="preserve">ontract </w:t>
            </w:r>
            <w:r w:rsidR="00CB6184">
              <w:rPr>
                <w:sz w:val="22"/>
                <w:szCs w:val="22"/>
                <w:lang w:val="en-GB"/>
              </w:rPr>
              <w:t>n</w:t>
            </w:r>
            <w:r w:rsidRPr="00053910">
              <w:rPr>
                <w:sz w:val="22"/>
                <w:szCs w:val="22"/>
                <w:lang w:val="en-GB"/>
              </w:rPr>
              <w:t>otice, the candidate is expected to</w:t>
            </w:r>
            <w:r w:rsidR="00370F48">
              <w:rPr>
                <w:sz w:val="22"/>
                <w:szCs w:val="22"/>
                <w:lang w:val="en-GB"/>
              </w:rPr>
              <w:t xml:space="preserve"> have</w:t>
            </w:r>
            <w:r w:rsidRPr="00053910">
              <w:rPr>
                <w:sz w:val="22"/>
                <w:szCs w:val="22"/>
                <w:lang w:val="en-GB"/>
              </w:rPr>
              <w:t xml:space="preserve"> provide</w:t>
            </w:r>
            <w:r w:rsidR="00370F48">
              <w:rPr>
                <w:sz w:val="22"/>
                <w:szCs w:val="22"/>
                <w:lang w:val="en-GB"/>
              </w:rPr>
              <w:t>d</w:t>
            </w:r>
            <w:r w:rsidRPr="00053910">
              <w:rPr>
                <w:sz w:val="22"/>
                <w:szCs w:val="22"/>
                <w:lang w:val="en-GB"/>
              </w:rPr>
              <w:t xml:space="preserve"> services under a single contract or similar assignment with a budget of </w:t>
            </w:r>
            <w:r w:rsidRPr="005F567B">
              <w:rPr>
                <w:b/>
                <w:sz w:val="22"/>
                <w:szCs w:val="22"/>
                <w:lang w:val="en-GB"/>
              </w:rPr>
              <w:t>at least EUR 300 000</w:t>
            </w:r>
            <w:r w:rsidRPr="00053910">
              <w:rPr>
                <w:sz w:val="22"/>
                <w:szCs w:val="22"/>
                <w:lang w:val="en-GB"/>
              </w:rPr>
              <w:t xml:space="preserve"> (proportion carried out by the candidate) </w:t>
            </w:r>
            <w:r w:rsidRPr="005F567B">
              <w:rPr>
                <w:b/>
                <w:sz w:val="22"/>
                <w:szCs w:val="22"/>
                <w:lang w:val="en-GB"/>
              </w:rPr>
              <w:t>in the field of software development in compliance with ISO 27001 procedures</w:t>
            </w:r>
            <w:r w:rsidRPr="00053910">
              <w:rPr>
                <w:sz w:val="22"/>
                <w:szCs w:val="22"/>
                <w:lang w:val="en-GB"/>
              </w:rPr>
              <w:t>.</w:t>
            </w:r>
            <w:r w:rsidR="00053910" w:rsidRPr="00053910">
              <w:rPr>
                <w:sz w:val="22"/>
                <w:szCs w:val="22"/>
                <w:lang w:val="en-GB"/>
              </w:rPr>
              <w:t xml:space="preserve"> </w:t>
            </w:r>
            <w:r w:rsidR="00370F48" w:rsidRPr="00370F48">
              <w:rPr>
                <w:sz w:val="22"/>
                <w:szCs w:val="22"/>
                <w:lang w:val="en-GB"/>
              </w:rPr>
              <w:t>Therefore, the criterion does not refer to only ERM software development experience.</w:t>
            </w:r>
            <w:r w:rsidR="00B649D4">
              <w:rPr>
                <w:sz w:val="22"/>
                <w:szCs w:val="22"/>
                <w:lang w:val="en-GB"/>
              </w:rPr>
              <w:t xml:space="preserve"> Please also see the Answer </w:t>
            </w:r>
            <w:r w:rsidR="00225F4D">
              <w:rPr>
                <w:sz w:val="22"/>
                <w:szCs w:val="22"/>
                <w:lang w:val="en-GB"/>
              </w:rPr>
              <w:t xml:space="preserve">2 and </w:t>
            </w:r>
            <w:r w:rsidR="009A3C50">
              <w:rPr>
                <w:sz w:val="22"/>
                <w:szCs w:val="22"/>
                <w:lang w:val="en-GB"/>
              </w:rPr>
              <w:t>3</w:t>
            </w:r>
            <w:r w:rsidR="00B649D4">
              <w:rPr>
                <w:sz w:val="22"/>
                <w:szCs w:val="22"/>
                <w:lang w:val="en-GB"/>
              </w:rPr>
              <w:t xml:space="preserve"> for further details. </w:t>
            </w:r>
            <w:r w:rsidR="00370F48">
              <w:rPr>
                <w:sz w:val="22"/>
                <w:szCs w:val="22"/>
                <w:lang w:val="en-GB"/>
              </w:rPr>
              <w:t xml:space="preserve"> </w:t>
            </w:r>
          </w:p>
          <w:p w14:paraId="4B497B60" w14:textId="77777777" w:rsidR="00424F70" w:rsidRPr="00053910" w:rsidRDefault="00424F70" w:rsidP="00053910">
            <w:pPr>
              <w:jc w:val="both"/>
              <w:rPr>
                <w:sz w:val="22"/>
                <w:szCs w:val="22"/>
              </w:rPr>
            </w:pPr>
          </w:p>
          <w:p w14:paraId="50D1BDD2" w14:textId="77777777" w:rsidR="000B06F3" w:rsidRDefault="000B06F3" w:rsidP="00873A46">
            <w:pPr>
              <w:pStyle w:val="ListeParagraf"/>
              <w:ind w:left="0" w:firstLine="0"/>
              <w:rPr>
                <w:rFonts w:ascii="Times New Roman" w:eastAsia="Times New Roman" w:hAnsi="Times New Roman"/>
                <w:bCs/>
                <w:lang w:val="en-GB" w:eastAsia="de-DE"/>
              </w:rPr>
            </w:pPr>
          </w:p>
          <w:p w14:paraId="196C1428" w14:textId="77777777" w:rsidR="00370F48" w:rsidRPr="00BF3CF4" w:rsidRDefault="00370F48" w:rsidP="00BF3CF4">
            <w:pPr>
              <w:jc w:val="both"/>
              <w:rPr>
                <w:lang w:val="en-GB"/>
              </w:rPr>
            </w:pPr>
          </w:p>
          <w:p w14:paraId="624E0777" w14:textId="4C040716" w:rsidR="000B06F3" w:rsidRPr="00BF3CF4" w:rsidRDefault="000B06F3" w:rsidP="00BF3CF4">
            <w:pPr>
              <w:jc w:val="both"/>
              <w:rPr>
                <w:lang w:val="en-GB"/>
              </w:rPr>
            </w:pPr>
          </w:p>
          <w:p w14:paraId="66813E43" w14:textId="77777777" w:rsidR="000B06F3" w:rsidRPr="000D5471" w:rsidRDefault="000B06F3" w:rsidP="00BF3CF4">
            <w:pPr>
              <w:jc w:val="both"/>
              <w:rPr>
                <w:lang w:val="en-GB"/>
              </w:rPr>
            </w:pPr>
          </w:p>
          <w:p w14:paraId="073E8EF9" w14:textId="77777777" w:rsidR="00053910" w:rsidRPr="00053910" w:rsidRDefault="00053910" w:rsidP="000B06F3">
            <w:pPr>
              <w:pStyle w:val="ListeParagraf"/>
              <w:ind w:left="0" w:firstLine="0"/>
              <w:rPr>
                <w:rFonts w:ascii="Times New Roman" w:eastAsia="Times New Roman" w:hAnsi="Times New Roman"/>
                <w:bCs/>
                <w:lang w:val="en-GB" w:eastAsia="de-DE"/>
              </w:rPr>
            </w:pPr>
          </w:p>
        </w:tc>
      </w:tr>
    </w:tbl>
    <w:p w14:paraId="3998F94F" w14:textId="77777777" w:rsidR="00F3390F" w:rsidRPr="00053910" w:rsidRDefault="00F3390F">
      <w:pPr>
        <w:rPr>
          <w:sz w:val="22"/>
          <w:szCs w:val="22"/>
        </w:rPr>
      </w:pPr>
    </w:p>
    <w:p w14:paraId="3CA1120F" w14:textId="77777777" w:rsidR="00C71388" w:rsidRPr="00053910" w:rsidRDefault="00C71388">
      <w:pPr>
        <w:rPr>
          <w:sz w:val="22"/>
          <w:szCs w:val="22"/>
        </w:rPr>
      </w:pPr>
    </w:p>
    <w:p w14:paraId="0A3E926F" w14:textId="77777777" w:rsidR="00C71388" w:rsidRPr="00053910" w:rsidRDefault="00C71388">
      <w:pPr>
        <w:rPr>
          <w:sz w:val="22"/>
          <w:szCs w:val="22"/>
        </w:rPr>
      </w:pPr>
    </w:p>
    <w:p w14:paraId="1D845CA8" w14:textId="77777777" w:rsidR="00C71388" w:rsidRPr="00053910" w:rsidRDefault="00C71388">
      <w:pPr>
        <w:rPr>
          <w:sz w:val="22"/>
          <w:szCs w:val="22"/>
        </w:rPr>
      </w:pPr>
    </w:p>
    <w:p w14:paraId="79E35293" w14:textId="77777777" w:rsidR="00C71388" w:rsidRPr="00053910" w:rsidRDefault="00C71388" w:rsidP="00C71388">
      <w:pPr>
        <w:pStyle w:val="ListeParagraf"/>
        <w:ind w:left="0" w:firstLine="0"/>
        <w:rPr>
          <w:rFonts w:ascii="Times New Roman" w:eastAsia="Times New Roman" w:hAnsi="Times New Roman"/>
          <w:lang w:val="en-GB" w:eastAsia="de-DE"/>
        </w:rPr>
      </w:pPr>
    </w:p>
    <w:sectPr w:rsidR="00C71388" w:rsidRPr="0005391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39A"/>
    <w:rsid w:val="00053910"/>
    <w:rsid w:val="000B06F3"/>
    <w:rsid w:val="000D5471"/>
    <w:rsid w:val="00143591"/>
    <w:rsid w:val="00225F4D"/>
    <w:rsid w:val="0023139A"/>
    <w:rsid w:val="0024354A"/>
    <w:rsid w:val="003519E3"/>
    <w:rsid w:val="00370F48"/>
    <w:rsid w:val="00424F70"/>
    <w:rsid w:val="00427F9A"/>
    <w:rsid w:val="004379D2"/>
    <w:rsid w:val="005F567B"/>
    <w:rsid w:val="0066786F"/>
    <w:rsid w:val="0075652C"/>
    <w:rsid w:val="00873A46"/>
    <w:rsid w:val="009431E1"/>
    <w:rsid w:val="009735DB"/>
    <w:rsid w:val="00977E3D"/>
    <w:rsid w:val="009A3C50"/>
    <w:rsid w:val="009C76CA"/>
    <w:rsid w:val="009F4901"/>
    <w:rsid w:val="00A45EFE"/>
    <w:rsid w:val="00A60456"/>
    <w:rsid w:val="00B649D4"/>
    <w:rsid w:val="00B739B2"/>
    <w:rsid w:val="00BF3CF4"/>
    <w:rsid w:val="00C71388"/>
    <w:rsid w:val="00C90CF1"/>
    <w:rsid w:val="00C9189E"/>
    <w:rsid w:val="00C9340E"/>
    <w:rsid w:val="00CB6184"/>
    <w:rsid w:val="00D84F28"/>
    <w:rsid w:val="00E23654"/>
    <w:rsid w:val="00E474CA"/>
    <w:rsid w:val="00F02464"/>
    <w:rsid w:val="00F279A7"/>
    <w:rsid w:val="00F3390F"/>
    <w:rsid w:val="00FB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16F3"/>
  <w15:docId w15:val="{2B6BCD11-DD8E-4EF2-8FDB-2A4062AB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39A"/>
    <w:pPr>
      <w:spacing w:after="0" w:line="240" w:lineRule="auto"/>
    </w:pPr>
    <w:rPr>
      <w:rFonts w:ascii="Times New Roman" w:eastAsia="Times New Roman" w:hAnsi="Times New Roman" w:cs="Times New Roman"/>
      <w:sz w:val="24"/>
      <w:szCs w:val="24"/>
      <w:lang w:val="de-DE" w:eastAsia="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39A"/>
    <w:pPr>
      <w:spacing w:line="276" w:lineRule="auto"/>
      <w:ind w:left="720" w:firstLine="709"/>
      <w:contextualSpacing/>
      <w:jc w:val="both"/>
    </w:pPr>
    <w:rPr>
      <w:rFonts w:ascii="Calibri" w:eastAsia="Calibri" w:hAnsi="Calibri"/>
      <w:sz w:val="22"/>
      <w:szCs w:val="22"/>
      <w:lang w:val="tr-TR" w:eastAsia="en-US"/>
    </w:rPr>
  </w:style>
  <w:style w:type="paragraph" w:styleId="BalonMetni">
    <w:name w:val="Balloon Text"/>
    <w:basedOn w:val="Normal"/>
    <w:link w:val="BalonMetniChar"/>
    <w:uiPriority w:val="99"/>
    <w:semiHidden/>
    <w:unhideWhenUsed/>
    <w:rsid w:val="00370F4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0F48"/>
    <w:rPr>
      <w:rFonts w:ascii="Segoe UI" w:eastAsia="Times New Roman" w:hAnsi="Segoe UI" w:cs="Segoe UI"/>
      <w:sz w:val="18"/>
      <w:szCs w:val="18"/>
      <w:lang w:val="de-DE" w:eastAsia="de-DE"/>
    </w:rPr>
  </w:style>
  <w:style w:type="character" w:styleId="AklamaBavurusu">
    <w:name w:val="annotation reference"/>
    <w:basedOn w:val="VarsaylanParagrafYazTipi"/>
    <w:uiPriority w:val="99"/>
    <w:semiHidden/>
    <w:unhideWhenUsed/>
    <w:rsid w:val="00370F48"/>
    <w:rPr>
      <w:sz w:val="16"/>
      <w:szCs w:val="16"/>
    </w:rPr>
  </w:style>
  <w:style w:type="paragraph" w:styleId="AklamaMetni">
    <w:name w:val="annotation text"/>
    <w:basedOn w:val="Normal"/>
    <w:link w:val="AklamaMetniChar"/>
    <w:uiPriority w:val="99"/>
    <w:semiHidden/>
    <w:unhideWhenUsed/>
    <w:rsid w:val="00370F48"/>
    <w:rPr>
      <w:sz w:val="20"/>
      <w:szCs w:val="20"/>
    </w:rPr>
  </w:style>
  <w:style w:type="character" w:customStyle="1" w:styleId="AklamaMetniChar">
    <w:name w:val="Açıklama Metni Char"/>
    <w:basedOn w:val="VarsaylanParagrafYazTipi"/>
    <w:link w:val="AklamaMetni"/>
    <w:uiPriority w:val="99"/>
    <w:semiHidden/>
    <w:rsid w:val="00370F48"/>
    <w:rPr>
      <w:rFonts w:ascii="Times New Roman" w:eastAsia="Times New Roman" w:hAnsi="Times New Roman" w:cs="Times New Roman"/>
      <w:sz w:val="20"/>
      <w:szCs w:val="20"/>
      <w:lang w:val="de-DE" w:eastAsia="de-DE"/>
    </w:rPr>
  </w:style>
  <w:style w:type="paragraph" w:styleId="AklamaKonusu">
    <w:name w:val="annotation subject"/>
    <w:basedOn w:val="AklamaMetni"/>
    <w:next w:val="AklamaMetni"/>
    <w:link w:val="AklamaKonusuChar"/>
    <w:uiPriority w:val="99"/>
    <w:semiHidden/>
    <w:unhideWhenUsed/>
    <w:rsid w:val="00370F48"/>
    <w:rPr>
      <w:b/>
      <w:bCs/>
    </w:rPr>
  </w:style>
  <w:style w:type="character" w:customStyle="1" w:styleId="AklamaKonusuChar">
    <w:name w:val="Açıklama Konusu Char"/>
    <w:basedOn w:val="AklamaMetniChar"/>
    <w:link w:val="AklamaKonusu"/>
    <w:uiPriority w:val="99"/>
    <w:semiHidden/>
    <w:rsid w:val="00370F48"/>
    <w:rPr>
      <w:rFonts w:ascii="Times New Roman" w:eastAsia="Times New Roman" w:hAnsi="Times New Roman"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87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617</Words>
  <Characters>3519</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 Bardak</dc:creator>
  <cp:lastModifiedBy>hande</cp:lastModifiedBy>
  <cp:revision>4</cp:revision>
  <dcterms:created xsi:type="dcterms:W3CDTF">2020-04-29T18:20:00Z</dcterms:created>
  <dcterms:modified xsi:type="dcterms:W3CDTF">2020-04-30T06:51:00Z</dcterms:modified>
</cp:coreProperties>
</file>