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AA7" w:rsidRPr="00123AA7" w:rsidRDefault="00123AA7" w:rsidP="00123AA7">
      <w:pPr>
        <w:widowControl w:val="0"/>
        <w:snapToGrid w:val="0"/>
        <w:spacing w:before="100" w:after="100" w:line="240" w:lineRule="auto"/>
        <w:jc w:val="center"/>
        <w:rPr>
          <w:rFonts w:ascii="Arial" w:eastAsia="Times New Roman" w:hAnsi="Arial" w:cs="Times New Roman"/>
          <w:b/>
          <w:sz w:val="24"/>
          <w:szCs w:val="20"/>
          <w:lang w:val="en-GB"/>
        </w:rPr>
      </w:pPr>
      <w:r w:rsidRPr="00123AA7">
        <w:rPr>
          <w:rFonts w:ascii="Arial" w:eastAsia="Times New Roman" w:hAnsi="Arial" w:cs="Times New Roman"/>
          <w:b/>
          <w:color w:val="FF0000"/>
          <w:sz w:val="24"/>
          <w:szCs w:val="20"/>
          <w:lang w:val="en-GB"/>
        </w:rPr>
        <w:t xml:space="preserve">CANCELLATION </w:t>
      </w:r>
    </w:p>
    <w:p w:rsidR="00123AA7" w:rsidRPr="00123AA7" w:rsidRDefault="00123AA7" w:rsidP="00123AA7">
      <w:pPr>
        <w:widowControl w:val="0"/>
        <w:snapToGrid w:val="0"/>
        <w:spacing w:before="100" w:after="100" w:line="240" w:lineRule="auto"/>
        <w:jc w:val="center"/>
        <w:rPr>
          <w:rFonts w:ascii="Arial" w:eastAsia="Times New Roman" w:hAnsi="Arial" w:cs="Times New Roman"/>
          <w:b/>
          <w:sz w:val="24"/>
          <w:szCs w:val="20"/>
          <w:lang w:val="en-GB"/>
        </w:rPr>
      </w:pPr>
      <w:r w:rsidRPr="00123AA7">
        <w:rPr>
          <w:rFonts w:ascii="Arial" w:eastAsia="Times New Roman" w:hAnsi="Arial" w:cs="Times New Roman"/>
          <w:b/>
          <w:sz w:val="24"/>
          <w:szCs w:val="20"/>
          <w:lang w:val="en-GB"/>
        </w:rPr>
        <w:t>OF A SUPPLY TENDER PROCEDURE</w:t>
      </w:r>
    </w:p>
    <w:p w:rsidR="00123AA7" w:rsidRPr="00123AA7" w:rsidRDefault="00123AA7" w:rsidP="00123AA7">
      <w:pPr>
        <w:widowControl w:val="0"/>
        <w:snapToGrid w:val="0"/>
        <w:spacing w:before="100" w:after="100" w:line="240" w:lineRule="auto"/>
        <w:jc w:val="center"/>
        <w:rPr>
          <w:rFonts w:ascii="Times New Roman" w:eastAsia="Times New Roman" w:hAnsi="Times New Roman" w:cs="Arial"/>
          <w:sz w:val="24"/>
          <w:szCs w:val="24"/>
          <w:lang w:val="en-US"/>
        </w:rPr>
      </w:pPr>
      <w:r w:rsidRPr="00123AA7">
        <w:rPr>
          <w:rFonts w:ascii="Arial" w:eastAsia="Times New Roman" w:hAnsi="Arial" w:cs="Arial"/>
          <w:b/>
          <w:sz w:val="24"/>
          <w:szCs w:val="24"/>
          <w:lang w:val="en-GB"/>
        </w:rPr>
        <w:t>Establishment of an IT System for Financial Monitoring and Statistics Reporting For the General Directorate of Insurance (GDI) and the Insurance Supervisory Board (ISB)</w:t>
      </w:r>
    </w:p>
    <w:p w:rsidR="00123AA7" w:rsidRPr="00123AA7" w:rsidRDefault="00123AA7" w:rsidP="00123AA7">
      <w:pPr>
        <w:widowControl w:val="0"/>
        <w:snapToGrid w:val="0"/>
        <w:spacing w:before="100" w:after="100" w:line="240" w:lineRule="auto"/>
        <w:jc w:val="center"/>
        <w:rPr>
          <w:rFonts w:ascii="Arial" w:eastAsia="Times New Roman" w:hAnsi="Arial" w:cs="Arial"/>
          <w:b/>
          <w:sz w:val="24"/>
          <w:szCs w:val="24"/>
          <w:lang w:val="en-US"/>
        </w:rPr>
      </w:pPr>
      <w:smartTag w:uri="urn:schemas-microsoft-com:office:smarttags" w:element="country-region">
        <w:smartTag w:uri="urn:schemas-microsoft-com:office:smarttags" w:element="place">
          <w:r w:rsidRPr="00123AA7">
            <w:rPr>
              <w:rFonts w:ascii="Arial" w:eastAsia="Times New Roman" w:hAnsi="Arial" w:cs="Arial"/>
              <w:b/>
              <w:sz w:val="24"/>
              <w:szCs w:val="24"/>
              <w:lang w:val="en-US"/>
            </w:rPr>
            <w:t>TURKEY</w:t>
          </w:r>
        </w:smartTag>
      </w:smartTag>
    </w:p>
    <w:p w:rsidR="00123AA7" w:rsidRPr="00123AA7" w:rsidRDefault="00123AA7" w:rsidP="00123AA7">
      <w:pPr>
        <w:widowControl w:val="0"/>
        <w:snapToGrid w:val="0"/>
        <w:spacing w:before="100" w:after="100" w:line="240" w:lineRule="auto"/>
        <w:jc w:val="center"/>
        <w:rPr>
          <w:rFonts w:ascii="Times New Roman" w:eastAsia="Times New Roman" w:hAnsi="Times New Roman" w:cs="Times New Roman"/>
          <w:b/>
          <w:sz w:val="24"/>
          <w:szCs w:val="20"/>
          <w:lang w:val="en-GB"/>
        </w:rPr>
      </w:pPr>
    </w:p>
    <w:p w:rsidR="00123AA7" w:rsidRPr="00123AA7" w:rsidRDefault="00123AA7" w:rsidP="00123AA7">
      <w:pPr>
        <w:widowControl w:val="0"/>
        <w:snapToGrid w:val="0"/>
        <w:spacing w:before="100" w:after="100" w:line="240" w:lineRule="auto"/>
        <w:ind w:left="567" w:hanging="283"/>
        <w:outlineLvl w:val="0"/>
        <w:rPr>
          <w:rFonts w:ascii="Arial" w:eastAsia="Times New Roman" w:hAnsi="Arial" w:cs="Times New Roman"/>
          <w:b/>
          <w:sz w:val="20"/>
          <w:szCs w:val="20"/>
          <w:lang w:val="en-GB"/>
        </w:rPr>
      </w:pPr>
      <w:r w:rsidRPr="00123AA7">
        <w:rPr>
          <w:rFonts w:ascii="Arial" w:eastAsia="Times New Roman" w:hAnsi="Arial" w:cs="Times New Roman"/>
          <w:b/>
          <w:sz w:val="20"/>
          <w:szCs w:val="20"/>
          <w:lang w:val="en-GB"/>
        </w:rPr>
        <w:t>1.</w:t>
      </w:r>
      <w:r w:rsidRPr="00123AA7">
        <w:rPr>
          <w:rFonts w:ascii="Arial" w:eastAsia="Times New Roman" w:hAnsi="Arial" w:cs="Times New Roman"/>
          <w:b/>
          <w:sz w:val="20"/>
          <w:szCs w:val="20"/>
          <w:lang w:val="en-GB"/>
        </w:rPr>
        <w:tab/>
        <w:t>Publication reference</w:t>
      </w:r>
    </w:p>
    <w:p w:rsidR="00123AA7" w:rsidRPr="00123AA7" w:rsidRDefault="00123AA7" w:rsidP="00123AA7">
      <w:pPr>
        <w:widowControl w:val="0"/>
        <w:snapToGrid w:val="0"/>
        <w:spacing w:before="100" w:after="100" w:line="240" w:lineRule="auto"/>
        <w:ind w:left="284" w:right="360"/>
        <w:rPr>
          <w:rFonts w:ascii="Times New Roman" w:eastAsia="Times New Roman" w:hAnsi="Times New Roman" w:cs="Times New Roman"/>
          <w:sz w:val="24"/>
          <w:szCs w:val="20"/>
          <w:lang w:val="en-US"/>
        </w:rPr>
      </w:pPr>
      <w:r w:rsidRPr="00123AA7">
        <w:rPr>
          <w:rFonts w:ascii="Arial" w:eastAsia="Times New Roman" w:hAnsi="Arial" w:cs="Arial"/>
          <w:sz w:val="20"/>
          <w:szCs w:val="20"/>
          <w:lang w:val="en-US"/>
        </w:rPr>
        <w:t>EuropeAid/117442/D/S/TR</w:t>
      </w:r>
    </w:p>
    <w:p w:rsidR="00123AA7" w:rsidRPr="00123AA7" w:rsidRDefault="00123AA7" w:rsidP="00123AA7">
      <w:pPr>
        <w:widowControl w:val="0"/>
        <w:snapToGrid w:val="0"/>
        <w:spacing w:before="100" w:after="100" w:line="240" w:lineRule="auto"/>
        <w:ind w:left="567" w:hanging="283"/>
        <w:outlineLvl w:val="0"/>
        <w:rPr>
          <w:rFonts w:ascii="Times New Roman" w:eastAsia="Times New Roman" w:hAnsi="Times New Roman" w:cs="Times New Roman"/>
          <w:b/>
          <w:sz w:val="24"/>
          <w:szCs w:val="20"/>
          <w:lang w:val="en-US"/>
        </w:rPr>
      </w:pPr>
      <w:r w:rsidRPr="00123AA7">
        <w:rPr>
          <w:rFonts w:ascii="Arial" w:eastAsia="Times New Roman" w:hAnsi="Arial" w:cs="Times New Roman"/>
          <w:b/>
          <w:sz w:val="20"/>
          <w:szCs w:val="20"/>
          <w:lang w:val="en-GB"/>
        </w:rPr>
        <w:t>2.</w:t>
      </w:r>
      <w:r w:rsidRPr="00123AA7">
        <w:rPr>
          <w:rFonts w:ascii="Arial" w:eastAsia="Times New Roman" w:hAnsi="Arial" w:cs="Times New Roman"/>
          <w:b/>
          <w:sz w:val="20"/>
          <w:szCs w:val="20"/>
          <w:lang w:val="en-GB"/>
        </w:rPr>
        <w:tab/>
        <w:t>Date of publication</w:t>
      </w:r>
    </w:p>
    <w:p w:rsidR="00123AA7" w:rsidRPr="00123AA7" w:rsidRDefault="00123AA7" w:rsidP="00123AA7">
      <w:pPr>
        <w:widowControl w:val="0"/>
        <w:snapToGrid w:val="0"/>
        <w:spacing w:before="100" w:after="100" w:line="240" w:lineRule="auto"/>
        <w:ind w:left="284" w:right="360"/>
        <w:jc w:val="both"/>
        <w:rPr>
          <w:rFonts w:ascii="Times New Roman" w:eastAsia="Times New Roman" w:hAnsi="Times New Roman" w:cs="Times New Roman"/>
          <w:sz w:val="24"/>
          <w:szCs w:val="20"/>
          <w:lang w:val="en-US"/>
        </w:rPr>
      </w:pPr>
      <w:smartTag w:uri="urn:schemas-microsoft-com:office:smarttags" w:element="date">
        <w:smartTagPr>
          <w:attr w:name="Year" w:val="2005"/>
          <w:attr w:name="Day" w:val="22"/>
          <w:attr w:name="Month" w:val="4"/>
        </w:smartTagPr>
        <w:r w:rsidRPr="00123AA7">
          <w:rPr>
            <w:rFonts w:ascii="Arial" w:eastAsia="Times New Roman" w:hAnsi="Arial" w:cs="Times New Roman"/>
            <w:sz w:val="20"/>
            <w:szCs w:val="20"/>
            <w:lang w:val="en-US"/>
          </w:rPr>
          <w:t>22/04/2005</w:t>
        </w:r>
      </w:smartTag>
      <w:r w:rsidRPr="00123AA7">
        <w:rPr>
          <w:rFonts w:ascii="Arial" w:eastAsia="Times New Roman" w:hAnsi="Arial" w:cs="Times New Roman"/>
          <w:sz w:val="20"/>
          <w:szCs w:val="20"/>
          <w:lang w:val="en-US"/>
        </w:rPr>
        <w:t xml:space="preserve"> in OJ S 79</w:t>
      </w:r>
    </w:p>
    <w:p w:rsidR="00123AA7" w:rsidRPr="00123AA7" w:rsidRDefault="00123AA7" w:rsidP="00123AA7">
      <w:pPr>
        <w:widowControl w:val="0"/>
        <w:snapToGrid w:val="0"/>
        <w:spacing w:before="100" w:after="100" w:line="240" w:lineRule="auto"/>
        <w:ind w:left="567" w:hanging="283"/>
        <w:outlineLvl w:val="0"/>
        <w:rPr>
          <w:rFonts w:ascii="Times New Roman" w:eastAsia="Times New Roman" w:hAnsi="Times New Roman" w:cs="Times New Roman"/>
          <w:b/>
          <w:sz w:val="24"/>
          <w:szCs w:val="20"/>
          <w:lang w:val="en-GB"/>
        </w:rPr>
      </w:pPr>
      <w:r w:rsidRPr="00123AA7">
        <w:rPr>
          <w:rFonts w:ascii="Arial" w:eastAsia="Times New Roman" w:hAnsi="Arial" w:cs="Times New Roman"/>
          <w:b/>
          <w:sz w:val="20"/>
          <w:szCs w:val="20"/>
          <w:lang w:val="en-GB"/>
        </w:rPr>
        <w:t>3.</w:t>
      </w:r>
      <w:r w:rsidRPr="00123AA7">
        <w:rPr>
          <w:rFonts w:ascii="Arial" w:eastAsia="Times New Roman" w:hAnsi="Arial" w:cs="Times New Roman"/>
          <w:b/>
          <w:sz w:val="20"/>
          <w:szCs w:val="20"/>
          <w:lang w:val="en-GB"/>
        </w:rPr>
        <w:tab/>
        <w:t>Programme</w:t>
      </w:r>
    </w:p>
    <w:p w:rsidR="00123AA7" w:rsidRPr="00123AA7" w:rsidRDefault="00123AA7" w:rsidP="00123AA7">
      <w:pPr>
        <w:widowControl w:val="0"/>
        <w:snapToGrid w:val="0"/>
        <w:spacing w:before="100" w:after="100" w:line="240" w:lineRule="auto"/>
        <w:ind w:left="284" w:right="360"/>
        <w:jc w:val="both"/>
        <w:rPr>
          <w:rFonts w:ascii="Times New Roman" w:eastAsia="Times New Roman" w:hAnsi="Times New Roman" w:cs="Times New Roman"/>
          <w:sz w:val="24"/>
          <w:szCs w:val="20"/>
          <w:lang w:val="en-US"/>
        </w:rPr>
      </w:pPr>
      <w:r w:rsidRPr="00123AA7">
        <w:rPr>
          <w:rFonts w:ascii="Arial" w:eastAsia="Times New Roman" w:hAnsi="Arial" w:cs="Times New Roman"/>
          <w:sz w:val="20"/>
          <w:szCs w:val="20"/>
          <w:lang w:val="en-US"/>
        </w:rPr>
        <w:t xml:space="preserve">The National Pre-Accession Financial Assistance Programme for </w:t>
      </w:r>
      <w:smartTag w:uri="urn:schemas-microsoft-com:office:smarttags" w:element="country-region">
        <w:smartTag w:uri="urn:schemas-microsoft-com:office:smarttags" w:element="place">
          <w:r w:rsidRPr="00123AA7">
            <w:rPr>
              <w:rFonts w:ascii="Arial" w:eastAsia="Times New Roman" w:hAnsi="Arial" w:cs="Times New Roman"/>
              <w:sz w:val="20"/>
              <w:szCs w:val="20"/>
              <w:lang w:val="en-US"/>
            </w:rPr>
            <w:t>Turkey</w:t>
          </w:r>
        </w:smartTag>
      </w:smartTag>
      <w:r w:rsidRPr="00123AA7">
        <w:rPr>
          <w:rFonts w:ascii="Arial" w:eastAsia="Times New Roman" w:hAnsi="Arial" w:cs="Times New Roman"/>
          <w:sz w:val="20"/>
          <w:szCs w:val="20"/>
          <w:lang w:val="en-US"/>
        </w:rPr>
        <w:t xml:space="preserve"> - 2003</w:t>
      </w:r>
    </w:p>
    <w:p w:rsidR="00123AA7" w:rsidRPr="00123AA7" w:rsidRDefault="00123AA7" w:rsidP="00123AA7">
      <w:pPr>
        <w:widowControl w:val="0"/>
        <w:snapToGrid w:val="0"/>
        <w:spacing w:before="100" w:after="100" w:line="240" w:lineRule="auto"/>
        <w:ind w:left="567" w:hanging="283"/>
        <w:outlineLvl w:val="0"/>
        <w:rPr>
          <w:rFonts w:ascii="Times New Roman" w:eastAsia="Times New Roman" w:hAnsi="Times New Roman" w:cs="Times New Roman"/>
          <w:b/>
          <w:sz w:val="24"/>
          <w:szCs w:val="20"/>
          <w:lang w:val="en-GB"/>
        </w:rPr>
      </w:pPr>
      <w:r w:rsidRPr="00123AA7">
        <w:rPr>
          <w:rFonts w:ascii="Arial" w:eastAsia="Times New Roman" w:hAnsi="Arial" w:cs="Times New Roman"/>
          <w:b/>
          <w:sz w:val="20"/>
          <w:szCs w:val="20"/>
          <w:lang w:val="en-GB"/>
        </w:rPr>
        <w:t>4.</w:t>
      </w:r>
      <w:r w:rsidRPr="00123AA7">
        <w:rPr>
          <w:rFonts w:ascii="Arial" w:eastAsia="Times New Roman" w:hAnsi="Arial" w:cs="Times New Roman"/>
          <w:b/>
          <w:sz w:val="20"/>
          <w:szCs w:val="20"/>
          <w:lang w:val="en-GB"/>
        </w:rPr>
        <w:tab/>
        <w:t>Contracting authority</w:t>
      </w:r>
    </w:p>
    <w:p w:rsidR="00123AA7" w:rsidRPr="00123AA7" w:rsidRDefault="00123AA7" w:rsidP="00123AA7">
      <w:pPr>
        <w:widowControl w:val="0"/>
        <w:snapToGrid w:val="0"/>
        <w:spacing w:before="100" w:after="100" w:line="240" w:lineRule="auto"/>
        <w:ind w:left="284" w:right="360"/>
        <w:jc w:val="both"/>
        <w:rPr>
          <w:rFonts w:ascii="Times New Roman" w:eastAsia="Times New Roman" w:hAnsi="Times New Roman" w:cs="Times New Roman"/>
          <w:sz w:val="24"/>
          <w:szCs w:val="20"/>
          <w:lang w:val="en-US"/>
        </w:rPr>
      </w:pPr>
      <w:r w:rsidRPr="00123AA7">
        <w:rPr>
          <w:rFonts w:ascii="Arial" w:eastAsia="Times New Roman" w:hAnsi="Arial" w:cs="Times New Roman"/>
          <w:sz w:val="20"/>
          <w:szCs w:val="20"/>
          <w:lang w:val="en-US"/>
        </w:rPr>
        <w:t xml:space="preserve">Central Finance and Contracts Unit (CFCU) - </w:t>
      </w:r>
      <w:smartTag w:uri="urn:schemas-microsoft-com:office:smarttags" w:element="country-region">
        <w:smartTag w:uri="urn:schemas-microsoft-com:office:smarttags" w:element="place">
          <w:r w:rsidRPr="00123AA7">
            <w:rPr>
              <w:rFonts w:ascii="Arial" w:eastAsia="Times New Roman" w:hAnsi="Arial" w:cs="Times New Roman"/>
              <w:sz w:val="20"/>
              <w:szCs w:val="20"/>
              <w:lang w:val="en-US"/>
            </w:rPr>
            <w:t>Turkey</w:t>
          </w:r>
        </w:smartTag>
      </w:smartTag>
    </w:p>
    <w:p w:rsidR="00123AA7" w:rsidRPr="00123AA7" w:rsidRDefault="00123AA7" w:rsidP="00123AA7">
      <w:pPr>
        <w:widowControl w:val="0"/>
        <w:snapToGrid w:val="0"/>
        <w:spacing w:before="100" w:after="100" w:line="240" w:lineRule="auto"/>
        <w:ind w:left="567" w:hanging="283"/>
        <w:outlineLvl w:val="0"/>
        <w:rPr>
          <w:rFonts w:ascii="Times New Roman" w:eastAsia="Times New Roman" w:hAnsi="Times New Roman" w:cs="Times New Roman"/>
          <w:b/>
          <w:sz w:val="24"/>
          <w:szCs w:val="20"/>
          <w:lang w:val="en-GB"/>
        </w:rPr>
      </w:pPr>
      <w:r w:rsidRPr="00123AA7">
        <w:rPr>
          <w:rFonts w:ascii="Arial" w:eastAsia="Times New Roman" w:hAnsi="Arial" w:cs="Times New Roman"/>
          <w:b/>
          <w:sz w:val="20"/>
          <w:szCs w:val="20"/>
          <w:lang w:val="en-GB"/>
        </w:rPr>
        <w:t>5.</w:t>
      </w:r>
      <w:r w:rsidRPr="00123AA7">
        <w:rPr>
          <w:rFonts w:ascii="Arial" w:eastAsia="Times New Roman" w:hAnsi="Arial" w:cs="Times New Roman"/>
          <w:b/>
          <w:sz w:val="20"/>
          <w:szCs w:val="20"/>
          <w:lang w:val="en-GB"/>
        </w:rPr>
        <w:tab/>
        <w:t>Other information</w:t>
      </w:r>
    </w:p>
    <w:p w:rsidR="00123AA7" w:rsidRPr="00123AA7" w:rsidRDefault="00123AA7" w:rsidP="00123AA7">
      <w:pPr>
        <w:widowControl w:val="0"/>
        <w:snapToGrid w:val="0"/>
        <w:spacing w:before="100" w:after="100" w:line="240" w:lineRule="auto"/>
        <w:ind w:left="284" w:right="360"/>
        <w:jc w:val="both"/>
        <w:rPr>
          <w:rFonts w:ascii="Times New Roman" w:eastAsia="Times New Roman" w:hAnsi="Times New Roman" w:cs="Times New Roman"/>
          <w:noProof/>
          <w:sz w:val="24"/>
          <w:szCs w:val="20"/>
          <w:lang w:val="en-US"/>
        </w:rPr>
      </w:pPr>
      <w:r w:rsidRPr="00123AA7">
        <w:rPr>
          <w:rFonts w:ascii="Arial" w:eastAsia="Times New Roman" w:hAnsi="Arial" w:cs="Times New Roman"/>
          <w:noProof/>
          <w:sz w:val="20"/>
          <w:szCs w:val="20"/>
          <w:lang w:val="en-US"/>
        </w:rPr>
        <w:t>The procedure was cancelled since the conditionality for the contracting of the supply contract, which is stipulated in Article 22 of the Procurement Notice, was not fulfilled before the commitment deadline, 30.11.2005.</w:t>
      </w:r>
    </w:p>
    <w:p w:rsidR="009F2973" w:rsidRDefault="009F2973">
      <w:bookmarkStart w:id="0" w:name="_GoBack"/>
      <w:bookmarkEnd w:id="0"/>
    </w:p>
    <w:sectPr w:rsidR="009F29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AA7"/>
    <w:rsid w:val="00123AA7"/>
    <w:rsid w:val="009F29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93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614</Characters>
  <Application>Microsoft Office Word</Application>
  <DocSecurity>0</DocSecurity>
  <Lines>5</Lines>
  <Paragraphs>1</Paragraphs>
  <ScaleCrop>false</ScaleCrop>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Bahar Dikilitaş</dc:creator>
  <cp:lastModifiedBy>Bahar Dikilitaş</cp:lastModifiedBy>
  <cp:revision>1</cp:revision>
  <dcterms:created xsi:type="dcterms:W3CDTF">2012-05-09T08:11:00Z</dcterms:created>
  <dcterms:modified xsi:type="dcterms:W3CDTF">2012-05-09T08:11:00Z</dcterms:modified>
</cp:coreProperties>
</file>